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3" w:rsidRDefault="00C46A81">
      <w:pPr>
        <w:pStyle w:val="Didefault"/>
        <w:jc w:val="center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Informativa sul trattamento dei dati personali (Art. 13 Regolamento UE 2016/679)</w:t>
      </w:r>
    </w:p>
    <w:p w:rsidR="005B7E43" w:rsidRDefault="005B7E43">
      <w:pPr>
        <w:pStyle w:val="Didefault"/>
        <w:jc w:val="center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tutela la riservatezza dei dati personali e garantisce ad essi la necessaria protezione da ogni evento che possa metterli a rischio di violazione.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Ai sensi del Regolamento UE 2016/679 (di seguito GDPR), ed in relazione ai dati personali riguardanti pe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r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sone fisiche oggetto di trattamento. 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La informa di quanto segue: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1 - Titolare del trattamento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Titolare del trattamento dei dati, è 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– Piazza S'Olivariu - 09010 Uta (CA) Telefono </w:t>
      </w:r>
      <w:r>
        <w:rPr>
          <w:rStyle w:val="NessunoA"/>
          <w:rFonts w:ascii="Calibri" w:eastAsia="Calibri" w:hAnsi="Calibri" w:cs="Calibri"/>
          <w:b/>
          <w:bCs/>
          <w:color w:val="333333"/>
          <w:u w:color="333333"/>
        </w:rPr>
        <w:t>+39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</w:t>
      </w:r>
      <w:r>
        <w:rPr>
          <w:rStyle w:val="NessunoA"/>
          <w:rFonts w:ascii="Calibri" w:eastAsia="Calibri" w:hAnsi="Calibri" w:cs="Calibri"/>
          <w:b/>
          <w:bCs/>
          <w:color w:val="333333"/>
          <w:u w:color="333333"/>
        </w:rPr>
        <w:t>07096660201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 fax </w:t>
      </w:r>
      <w:r>
        <w:rPr>
          <w:rStyle w:val="NessunoA"/>
          <w:rFonts w:ascii="Calibri" w:eastAsia="Calibri" w:hAnsi="Calibri" w:cs="Calibri"/>
          <w:b/>
          <w:bCs/>
          <w:color w:val="333333"/>
          <w:u w:color="333333"/>
        </w:rPr>
        <w:t xml:space="preserve">+39 07096660217 </w:t>
      </w:r>
      <w:r>
        <w:rPr>
          <w:rStyle w:val="NessunoA"/>
          <w:rFonts w:ascii="Trebuchet MS" w:hAnsi="Trebuchet MS"/>
          <w:b/>
          <w:bCs/>
        </w:rPr>
        <w:t>comune.uta@legalmail.it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2 - Responsabile Protezione Dati (RPD)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KARANOA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S.R.L.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con sede in Via Principessa Iolanda n.48 - 07100 - Sassari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email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>: karanoa@email.it  pec: k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a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ranoa@pec.buffetti.it tel. 3345344282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u w:color="333333"/>
        </w:rPr>
        <w:t>Referente: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Avv. Giacomo Salvatore Lucio CROVETTI tel. </w:t>
      </w:r>
      <w:r>
        <w:rPr>
          <w:rStyle w:val="NessunoA"/>
          <w:rFonts w:ascii="Calibri" w:eastAsia="Calibri" w:hAnsi="Calibri" w:cs="Calibri"/>
          <w:b/>
          <w:bCs/>
          <w:color w:val="333333"/>
          <w:u w:color="333333"/>
        </w:rPr>
        <w:t>3400698849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fax </w:t>
      </w:r>
      <w:r>
        <w:rPr>
          <w:rStyle w:val="NessunoA"/>
          <w:rFonts w:ascii="Calibri" w:eastAsia="Calibri" w:hAnsi="Calibri" w:cs="Calibri"/>
          <w:b/>
          <w:bCs/>
          <w:color w:val="333333"/>
          <w:u w:color="333333"/>
        </w:rPr>
        <w:t>079.3762089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email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</w:t>
      </w:r>
      <w:hyperlink r:id="rId7" w:history="1">
        <w:r w:rsidRPr="00515FEE">
          <w:rPr>
            <w:rStyle w:val="Hyperlink0"/>
            <w:lang w:val="it-IT"/>
          </w:rPr>
          <w:t>giacomo.crovetti@gmail.com</w:t>
        </w:r>
      </w:hyperlink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pec </w:t>
      </w:r>
      <w:hyperlink r:id="rId8" w:history="1">
        <w:r w:rsidRPr="00515FEE">
          <w:rPr>
            <w:rStyle w:val="Hyperlink0"/>
            <w:lang w:val="it-IT"/>
          </w:rPr>
          <w:t>avv.giacomocrovetti@pec.it</w:t>
        </w:r>
      </w:hyperlink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 xml:space="preserve"> 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 xml:space="preserve">3 – Base giuridica e </w:t>
      </w:r>
      <w:proofErr w:type="spellStart"/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finalit</w:t>
      </w:r>
      <w:proofErr w:type="spellEnd"/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del trattamento dei dati</w:t>
      </w:r>
    </w:p>
    <w:p w:rsidR="005B7E43" w:rsidRDefault="00C46A81">
      <w:pPr>
        <w:pStyle w:val="Didefault"/>
        <w:jc w:val="both"/>
        <w:rPr>
          <w:rStyle w:val="NessunoA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Il trattamento dei dati personali si fonda sulle seguenti basi giuridiche:</w:t>
      </w:r>
    </w:p>
    <w:p w:rsidR="005B7E43" w:rsidRDefault="00515FEE">
      <w:pPr>
        <w:pStyle w:val="Didefault"/>
        <w:numPr>
          <w:ilvl w:val="0"/>
          <w:numId w:val="2"/>
        </w:numPr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necessita</w:t>
      </w:r>
      <w:r w:rsidR="00C46A81"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 w:rsidR="00C46A81">
        <w:rPr>
          <w:rStyle w:val="NessunoA"/>
          <w:rFonts w:ascii="Calibri" w:eastAsia="Calibri" w:hAnsi="Calibri" w:cs="Calibri"/>
          <w:color w:val="333333"/>
          <w:u w:color="333333"/>
        </w:rPr>
        <w:t>del trattamento per l'esecuzione di un compito di interesse pubblico o lo svolgimento di una pubblica funzione;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 dati personali sono raccolti e trattati in funzione e per le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finalit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istituzionali del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nonché per il raggiungimento delle medesime. In particolare i dati saranno trattati per le seguenti finalità ed escl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u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sivamente per esse: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</w:p>
    <w:p w:rsidR="005B7E43" w:rsidRDefault="00515FEE" w:rsidP="00515FEE">
      <w:pPr>
        <w:pStyle w:val="Didefault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val="single"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val="single" w:color="333333"/>
        </w:rPr>
        <w:t>Piani personalizzati Legge 162/1998</w:t>
      </w:r>
    </w:p>
    <w:p w:rsidR="00515FEE" w:rsidRDefault="00515FEE" w:rsidP="00515FEE">
      <w:pPr>
        <w:pStyle w:val="Didefault"/>
        <w:jc w:val="center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 xml:space="preserve">3 - </w:t>
      </w:r>
      <w:proofErr w:type="spellStart"/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Modalit</w:t>
      </w:r>
      <w:proofErr w:type="spellEnd"/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del trattamento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5 - Dati oggetto di trattamento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Dati personali di persone fisiche oggetto di trattamento sono tutti quelli raccolti direttamente presso l’interessato ed inerenti il medesimo, ivi inclusi i dati appartenenti alle categorie particolari ex </w:t>
      </w:r>
      <w:r>
        <w:rPr>
          <w:rStyle w:val="NessunoA"/>
          <w:rFonts w:ascii="Calibri" w:eastAsia="Calibri" w:hAnsi="Calibri" w:cs="Calibri"/>
          <w:b/>
          <w:bCs/>
          <w:color w:val="333333"/>
          <w:u w:val="single" w:color="333333"/>
        </w:rPr>
        <w:t>art. 9 GDPR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(genetici, biometrici, sanitari, dati relativi ad orientamenti sessuali, politici, filosofici, sindacali, etc.).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6 - Comunicazione e diffusione dei dati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I dati personali sono comunicati ai soggetti terzi a cui i medesimi dovranno pervenire per effetto dell’adempimento di obblighi contrattuali e/o di legge nonché per il regolare e conforme adempimento de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l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le pubbliche funzioni dalla società stessa svolte.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7 - Trasferimento dei dati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non trasferir</w:t>
      </w:r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i dati personali in Stati terzi non appartenenti all’Unione Europea né ad organizzazioni internazionali.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8 - Periodo di conservazione dei dati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conserva i dati personali dell’interessato fino a quando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sar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necessario o consentito alla luce delle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finalit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per le quali i dati personali sono stati ottenuti ed, in ogni caso, per il tempo previsto dalle norme e dalle disposizioni in materia di conservazione della documentazione amministrativa.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lastRenderedPageBreak/>
        <w:t>I criteri usati per determinare i periodi di conservazione si basano su:</w:t>
      </w:r>
    </w:p>
    <w:p w:rsidR="005B7E43" w:rsidRDefault="00C46A81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•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durata del rapporto contrattuale;</w:t>
      </w:r>
    </w:p>
    <w:p w:rsidR="005B7E43" w:rsidRDefault="00C46A81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•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obblighi legali gravanti sul titolare del trattamento, con particolare riferimento all’ambito fiscale e tributario;</w:t>
      </w:r>
    </w:p>
    <w:p w:rsidR="005B7E43" w:rsidRDefault="00C46A81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•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ab/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necessit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o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opportunit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della conservazione, per la difesa dei diritti del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UTA;</w:t>
      </w:r>
    </w:p>
    <w:p w:rsidR="005B7E43" w:rsidRDefault="00C46A81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•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ab/>
        <w:t>previsioni generali in tema di prescrizione dei diritti.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9 - Diritti dell’interessato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L’interessato dispone dei diritti specificati negli articoli da 15 a 22 del GDPR, di seguito indicati:</w:t>
      </w:r>
    </w:p>
    <w:p w:rsidR="005B7E43" w:rsidRDefault="00C46A81">
      <w:pPr>
        <w:pStyle w:val="Standard"/>
        <w:numPr>
          <w:ilvl w:val="0"/>
          <w:numId w:val="4"/>
        </w:numPr>
        <w:jc w:val="both"/>
        <w:rPr>
          <w:rStyle w:val="NessunoA"/>
          <w:rFonts w:ascii="Calibri" w:eastAsia="Calibri" w:hAnsi="Calibri" w:cs="Calibri"/>
          <w:sz w:val="22"/>
          <w:szCs w:val="22"/>
        </w:rPr>
      </w:pPr>
      <w:r>
        <w:rPr>
          <w:rStyle w:val="NessunoA"/>
          <w:rFonts w:ascii="Calibri" w:eastAsia="Calibri" w:hAnsi="Calibri" w:cs="Calibri"/>
          <w:sz w:val="22"/>
          <w:szCs w:val="22"/>
          <w:u w:val="single"/>
        </w:rPr>
        <w:t>Diritto di accesso</w:t>
      </w:r>
      <w:r>
        <w:rPr>
          <w:rStyle w:val="NessunoA"/>
          <w:rFonts w:ascii="Calibri" w:eastAsia="Calibri" w:hAnsi="Calibri" w:cs="Calibri"/>
          <w:sz w:val="22"/>
          <w:szCs w:val="22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:rsidR="005B7E43" w:rsidRDefault="00C46A81">
      <w:pPr>
        <w:pStyle w:val="Standard"/>
        <w:numPr>
          <w:ilvl w:val="0"/>
          <w:numId w:val="4"/>
        </w:numPr>
        <w:jc w:val="both"/>
        <w:rPr>
          <w:rStyle w:val="NessunoA"/>
          <w:rFonts w:ascii="Calibri" w:eastAsia="Calibri" w:hAnsi="Calibri" w:cs="Calibri"/>
          <w:sz w:val="22"/>
          <w:szCs w:val="22"/>
        </w:rPr>
      </w:pPr>
      <w:r>
        <w:rPr>
          <w:rStyle w:val="NessunoA"/>
          <w:rFonts w:ascii="Calibri" w:eastAsia="Calibri" w:hAnsi="Calibri" w:cs="Calibri"/>
          <w:sz w:val="22"/>
          <w:szCs w:val="22"/>
          <w:u w:val="single"/>
        </w:rPr>
        <w:t>Diritto alla rettifica</w:t>
      </w:r>
      <w:r>
        <w:rPr>
          <w:rStyle w:val="NessunoA"/>
          <w:rFonts w:ascii="Calibri" w:eastAsia="Calibri" w:hAnsi="Calibri" w:cs="Calibri"/>
          <w:sz w:val="22"/>
          <w:szCs w:val="22"/>
        </w:rPr>
        <w:t xml:space="preserve"> ovvero il diritto ad ottenere, senza ingiustificato ritardo, dal titolare la rettifica dei dati inesatti (art.16);</w:t>
      </w:r>
    </w:p>
    <w:p w:rsidR="005B7E43" w:rsidRDefault="00C46A81">
      <w:pPr>
        <w:pStyle w:val="Standard"/>
        <w:numPr>
          <w:ilvl w:val="0"/>
          <w:numId w:val="4"/>
        </w:numPr>
        <w:jc w:val="both"/>
        <w:rPr>
          <w:rStyle w:val="NessunoA"/>
          <w:rFonts w:ascii="Calibri" w:eastAsia="Calibri" w:hAnsi="Calibri" w:cs="Calibri"/>
          <w:sz w:val="22"/>
          <w:szCs w:val="22"/>
        </w:rPr>
      </w:pPr>
      <w:r>
        <w:rPr>
          <w:rStyle w:val="NessunoA"/>
          <w:rFonts w:ascii="Calibri" w:eastAsia="Calibri" w:hAnsi="Calibri" w:cs="Calibri"/>
          <w:sz w:val="22"/>
          <w:szCs w:val="22"/>
          <w:u w:val="single"/>
        </w:rPr>
        <w:t>Diritto alla cancellazione (“diritto all’oblio”)</w:t>
      </w:r>
      <w:r>
        <w:rPr>
          <w:rStyle w:val="NessunoA"/>
          <w:rFonts w:ascii="Calibri" w:eastAsia="Calibri" w:hAnsi="Calibri" w:cs="Calibri"/>
          <w:sz w:val="22"/>
          <w:szCs w:val="22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:rsidR="005B7E43" w:rsidRDefault="00C46A81">
      <w:pPr>
        <w:pStyle w:val="Standard"/>
        <w:numPr>
          <w:ilvl w:val="0"/>
          <w:numId w:val="4"/>
        </w:numPr>
        <w:jc w:val="both"/>
        <w:rPr>
          <w:rStyle w:val="NessunoA"/>
          <w:rFonts w:ascii="Calibri" w:eastAsia="Calibri" w:hAnsi="Calibri" w:cs="Calibri"/>
          <w:sz w:val="22"/>
          <w:szCs w:val="22"/>
        </w:rPr>
      </w:pPr>
      <w:r>
        <w:rPr>
          <w:rStyle w:val="NessunoA"/>
          <w:rFonts w:ascii="Calibri" w:eastAsia="Calibri" w:hAnsi="Calibri" w:cs="Calibri"/>
          <w:sz w:val="22"/>
          <w:szCs w:val="22"/>
          <w:u w:val="single"/>
        </w:rPr>
        <w:t>Diritto di limitazione</w:t>
      </w:r>
      <w:r>
        <w:rPr>
          <w:rStyle w:val="NessunoA"/>
          <w:rFonts w:ascii="Calibri" w:eastAsia="Calibri" w:hAnsi="Calibri" w:cs="Calibri"/>
          <w:sz w:val="22"/>
          <w:szCs w:val="22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:rsidR="005B7E43" w:rsidRDefault="00C46A81">
      <w:pPr>
        <w:pStyle w:val="Standard"/>
        <w:numPr>
          <w:ilvl w:val="0"/>
          <w:numId w:val="4"/>
        </w:numPr>
        <w:jc w:val="both"/>
        <w:rPr>
          <w:rStyle w:val="NessunoA"/>
          <w:rFonts w:ascii="Calibri" w:eastAsia="Calibri" w:hAnsi="Calibri" w:cs="Calibri"/>
          <w:sz w:val="22"/>
          <w:szCs w:val="22"/>
        </w:rPr>
      </w:pPr>
      <w:r>
        <w:rPr>
          <w:rStyle w:val="NessunoA"/>
          <w:rFonts w:ascii="Calibri" w:eastAsia="Calibri" w:hAnsi="Calibri" w:cs="Calibri"/>
          <w:sz w:val="22"/>
          <w:szCs w:val="22"/>
          <w:u w:val="single"/>
        </w:rPr>
        <w:t>Diritto alla portabilità</w:t>
      </w:r>
      <w:r>
        <w:rPr>
          <w:rStyle w:val="NessunoA"/>
          <w:rFonts w:ascii="Calibri" w:eastAsia="Calibri" w:hAnsi="Calibri" w:cs="Calibri"/>
          <w:sz w:val="22"/>
          <w:szCs w:val="22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:rsidR="005B7E43" w:rsidRDefault="00C46A81">
      <w:pPr>
        <w:pStyle w:val="Standard"/>
        <w:numPr>
          <w:ilvl w:val="0"/>
          <w:numId w:val="4"/>
        </w:numPr>
        <w:jc w:val="both"/>
        <w:rPr>
          <w:rStyle w:val="NessunoA"/>
          <w:rFonts w:ascii="Calibri" w:eastAsia="Calibri" w:hAnsi="Calibri" w:cs="Calibri"/>
          <w:sz w:val="22"/>
          <w:szCs w:val="22"/>
        </w:rPr>
      </w:pPr>
      <w:r>
        <w:rPr>
          <w:rStyle w:val="NessunoA"/>
          <w:rFonts w:ascii="Calibri" w:eastAsia="Calibri" w:hAnsi="Calibri" w:cs="Calibri"/>
          <w:sz w:val="22"/>
          <w:szCs w:val="22"/>
          <w:u w:val="single"/>
        </w:rPr>
        <w:t>Diritto di opposizione</w:t>
      </w:r>
      <w:r>
        <w:rPr>
          <w:rStyle w:val="NessunoA"/>
          <w:rFonts w:ascii="Calibri" w:eastAsia="Calibri" w:hAnsi="Calibri" w:cs="Calibri"/>
          <w:sz w:val="22"/>
          <w:szCs w:val="22"/>
        </w:rPr>
        <w:t xml:space="preserve"> al trattamento (art. 21).</w:t>
      </w:r>
    </w:p>
    <w:p w:rsidR="005B7E43" w:rsidRDefault="005B7E43">
      <w:pPr>
        <w:pStyle w:val="Didefault"/>
        <w:tabs>
          <w:tab w:val="left" w:pos="220"/>
          <w:tab w:val="left" w:pos="720"/>
        </w:tabs>
        <w:ind w:left="720" w:hanging="720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L'interessato può esercitare questi diritti inviando una richiesta all’indirizzo mail del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sopra indicata ovvero ai recapiti del nominato Responsabile per la Protezione Dati nella persona del suo referente Avv. Giacomo Salvatore Lucio CROVETTI.. 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Nell'oggetto l’interessato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dovr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specificare il diritto che si intende esercitare, per quale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finalit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sa o si su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p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pone che i suoi dati siano stati raccolti dal 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dovr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allegare, se la richiesta non proviene da casella pec int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e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stata all'interessato, un proprio documento di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identit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>à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10 - Diritto di reclamo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L’interessato potrà proporre reclamo al Garante della Privacy - Piazza Venezia</w:t>
      </w:r>
      <w:r>
        <w:rPr>
          <w:rStyle w:val="Hyperlink1"/>
        </w:rPr>
        <w:t xml:space="preserve"> n.11 - 00186 - Roma  </w:t>
      </w:r>
      <w:hyperlink r:id="rId9" w:history="1">
        <w:r>
          <w:rPr>
            <w:rStyle w:val="Hyperlink1"/>
          </w:rPr>
          <w:t>www.garanteprivacy.it</w:t>
        </w:r>
      </w:hyperlink>
      <w:r>
        <w:rPr>
          <w:rStyle w:val="Hyperlink1"/>
        </w:rPr>
        <w:t>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11 - Fonte di provenienza dei dati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 dati personali sono conferiti dall’interessato 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potrà, tuttavia, acquisire taluni dati pers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o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nali anche tramite consultazione di pubblici registri, ovvero a seguito di comunicazione da parte di pubbl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i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che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autorit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>à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12 - Conferimento dei dati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Il conferimento dei dati personali è dovuto in base alla vigente normativa, ed è altresì necessario ai fini di consentire la ricezione delle istanze degli interessati.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>Il rifiuto di fornire i dati richiesti ovvero la revoca del consenso, non consentir</w:t>
      </w:r>
      <w:r>
        <w:rPr>
          <w:rStyle w:val="NessunoA"/>
          <w:rFonts w:ascii="Calibri" w:eastAsia="Calibri" w:hAnsi="Calibri" w:cs="Calibri"/>
          <w:color w:val="333333"/>
          <w:u w:color="333333"/>
          <w:lang w:val="fr-FR"/>
        </w:rPr>
        <w:t xml:space="preserve">à alla 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l’adempimento degli adempimenti richiesti ove necessario il consenso dell’interessato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13 - Inesistenza di un processo decisionale automatizzato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Il COMUNE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DI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UTA non adotta alcun processo automatizzato, compresa la </w:t>
      </w:r>
      <w:proofErr w:type="spellStart"/>
      <w:r>
        <w:rPr>
          <w:rStyle w:val="NessunoA"/>
          <w:rFonts w:ascii="Calibri" w:eastAsia="Calibri" w:hAnsi="Calibri" w:cs="Calibri"/>
          <w:color w:val="333333"/>
          <w:u w:color="333333"/>
        </w:rPr>
        <w:t>profilazione</w:t>
      </w:r>
      <w:proofErr w:type="spellEnd"/>
      <w:r>
        <w:rPr>
          <w:rStyle w:val="NessunoA"/>
          <w:rFonts w:ascii="Calibri" w:eastAsia="Calibri" w:hAnsi="Calibri" w:cs="Calibri"/>
          <w:color w:val="333333"/>
          <w:u w:color="333333"/>
        </w:rPr>
        <w:t xml:space="preserve"> di cui all'art. 22, p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a</w:t>
      </w:r>
      <w:r>
        <w:rPr>
          <w:rStyle w:val="NessunoA"/>
          <w:rFonts w:ascii="Calibri" w:eastAsia="Calibri" w:hAnsi="Calibri" w:cs="Calibri"/>
          <w:color w:val="333333"/>
          <w:u w:color="333333"/>
        </w:rPr>
        <w:t>ragrafi 1 e 4, GDPR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center"/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PRESA VISIONE INFORMATIVA</w:t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Il/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 xml:space="preserve">La sottoscritto/a interessato/a _______________________ nato/a a _________________ il_____________ e residente in _________________________ via/piazza ___________________________ </w:t>
      </w:r>
      <w:proofErr w:type="spellStart"/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c.f.</w:t>
      </w:r>
      <w:proofErr w:type="spellEnd"/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 xml:space="preserve"> ______________________ in qualità di ___________________________ dichiara di aver preso visione, letto ed approvato, oltre che ben compreso, l’informativa in materia di trattamento dei dati personali qui di sopra riportata, di ave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r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 xml:space="preserve">ne recepito i principi </w:t>
      </w:r>
      <w:proofErr w:type="spellStart"/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nonch</w:t>
      </w:r>
      <w:proofErr w:type="spellEnd"/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  <w:lang w:val="fr-FR"/>
        </w:rPr>
        <w:t xml:space="preserve">é 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 xml:space="preserve">di aver appreso i propri diritti e la modalità con cui potranno essere fatti valere nell’ambito del trattamento dei propri dati personali per le </w:t>
      </w:r>
      <w:proofErr w:type="spellStart"/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finalit</w:t>
      </w:r>
      <w:proofErr w:type="spellEnd"/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  <w:lang w:val="fr-FR"/>
        </w:rPr>
        <w:t xml:space="preserve">à 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di cui all’informativa.</w:t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</w:p>
    <w:p w:rsidR="005B7E43" w:rsidRDefault="00C46A81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>Uta, li ___________</w:t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5B7E43">
      <w:pPr>
        <w:pStyle w:val="Didefault"/>
        <w:jc w:val="both"/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5B7E43" w:rsidRDefault="00C46A81">
      <w:pPr>
        <w:pStyle w:val="Didefault"/>
        <w:jc w:val="both"/>
      </w:pP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</w:rPr>
        <w:tab/>
      </w:r>
      <w:r>
        <w:rPr>
          <w:rStyle w:val="NessunoA"/>
          <w:rFonts w:ascii="Calibri" w:eastAsia="Calibri" w:hAnsi="Calibri" w:cs="Calibri"/>
          <w:color w:val="333333"/>
          <w:sz w:val="24"/>
          <w:szCs w:val="24"/>
          <w:u w:color="333333"/>
          <w:lang w:val="en-US"/>
        </w:rPr>
        <w:t xml:space="preserve">________________________________ </w:t>
      </w:r>
    </w:p>
    <w:sectPr w:rsidR="005B7E43" w:rsidSect="005B7E4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43" w:rsidRDefault="005B7E43" w:rsidP="005B7E43">
      <w:r>
        <w:separator/>
      </w:r>
    </w:p>
  </w:endnote>
  <w:endnote w:type="continuationSeparator" w:id="0">
    <w:p w:rsidR="005B7E43" w:rsidRDefault="005B7E43" w:rsidP="005B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43" w:rsidRDefault="005B7E4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43" w:rsidRDefault="005B7E43" w:rsidP="005B7E43">
      <w:r>
        <w:separator/>
      </w:r>
    </w:p>
  </w:footnote>
  <w:footnote w:type="continuationSeparator" w:id="0">
    <w:p w:rsidR="005B7E43" w:rsidRDefault="005B7E43" w:rsidP="005B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43" w:rsidRDefault="005B7E4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00"/>
    <w:multiLevelType w:val="hybridMultilevel"/>
    <w:tmpl w:val="8342EAF2"/>
    <w:numStyleLink w:val="Stileimportato1"/>
  </w:abstractNum>
  <w:abstractNum w:abstractNumId="1">
    <w:nsid w:val="137772AA"/>
    <w:multiLevelType w:val="hybridMultilevel"/>
    <w:tmpl w:val="8342EAF2"/>
    <w:styleLink w:val="Stileimportato1"/>
    <w:lvl w:ilvl="0" w:tplc="C3C6300A">
      <w:start w:val="1"/>
      <w:numFmt w:val="bullet"/>
      <w:lvlText w:val="-"/>
      <w:lvlJc w:val="left"/>
      <w:pPr>
        <w:tabs>
          <w:tab w:val="left" w:pos="2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026EC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6CF44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C6C1F6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02C44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C2258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08B3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2F0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EDCEC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7A4E77"/>
    <w:multiLevelType w:val="hybridMultilevel"/>
    <w:tmpl w:val="4A621912"/>
    <w:numStyleLink w:val="Stileimportato2"/>
  </w:abstractNum>
  <w:abstractNum w:abstractNumId="3">
    <w:nsid w:val="7C150DCD"/>
    <w:multiLevelType w:val="hybridMultilevel"/>
    <w:tmpl w:val="4A621912"/>
    <w:styleLink w:val="Stileimportato2"/>
    <w:lvl w:ilvl="0" w:tplc="2D5C78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CA5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E9AF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4A1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68D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835F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2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40C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CA8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43"/>
    <w:rsid w:val="002D16E1"/>
    <w:rsid w:val="00515FEE"/>
    <w:rsid w:val="005B7E43"/>
    <w:rsid w:val="009A7882"/>
    <w:rsid w:val="00C46A81"/>
    <w:rsid w:val="00E1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7E4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7E43"/>
    <w:rPr>
      <w:u w:val="single"/>
    </w:rPr>
  </w:style>
  <w:style w:type="table" w:customStyle="1" w:styleId="TableNormal">
    <w:name w:val="Table Normal"/>
    <w:rsid w:val="005B7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B7E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5B7E43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ssunoA">
    <w:name w:val="Nessuno A"/>
    <w:rsid w:val="005B7E43"/>
    <w:rPr>
      <w:lang w:val="it-IT"/>
    </w:rPr>
  </w:style>
  <w:style w:type="character" w:customStyle="1" w:styleId="Hyperlink0">
    <w:name w:val="Hyperlink.0"/>
    <w:basedOn w:val="NessunoA"/>
    <w:rsid w:val="005B7E43"/>
    <w:rPr>
      <w:rFonts w:ascii="Calibri" w:eastAsia="Calibri" w:hAnsi="Calibri" w:cs="Calibri"/>
      <w:b/>
      <w:bCs/>
      <w:color w:val="333333"/>
      <w:u w:color="333333"/>
      <w:lang w:val="en-US"/>
    </w:rPr>
  </w:style>
  <w:style w:type="numbering" w:customStyle="1" w:styleId="Stileimportato1">
    <w:name w:val="Stile importato 1"/>
    <w:rsid w:val="005B7E43"/>
    <w:pPr>
      <w:numPr>
        <w:numId w:val="1"/>
      </w:numPr>
    </w:pPr>
  </w:style>
  <w:style w:type="paragraph" w:customStyle="1" w:styleId="Standard">
    <w:name w:val="Standard"/>
    <w:rsid w:val="005B7E43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rsid w:val="005B7E43"/>
    <w:pPr>
      <w:numPr>
        <w:numId w:val="3"/>
      </w:numPr>
    </w:pPr>
  </w:style>
  <w:style w:type="character" w:customStyle="1" w:styleId="Hyperlink1">
    <w:name w:val="Hyperlink.1"/>
    <w:basedOn w:val="NessunoA"/>
    <w:rsid w:val="005B7E43"/>
    <w:rPr>
      <w:rFonts w:ascii="Calibri" w:eastAsia="Calibri" w:hAnsi="Calibri" w:cs="Calibri"/>
      <w:color w:val="000000"/>
      <w:u w:color="000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.giacomocrovett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acomo.crovett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Boi</dc:creator>
  <cp:lastModifiedBy>Silvia Orru</cp:lastModifiedBy>
  <cp:revision>3</cp:revision>
  <cp:lastPrinted>2018-12-17T06:49:00Z</cp:lastPrinted>
  <dcterms:created xsi:type="dcterms:W3CDTF">2018-12-19T10:47:00Z</dcterms:created>
  <dcterms:modified xsi:type="dcterms:W3CDTF">2018-12-19T10:49:00Z</dcterms:modified>
</cp:coreProperties>
</file>